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s>
        <w:spacing w:line="600" w:lineRule="exact"/>
        <w:jc w:val="center"/>
        <w:rPr>
          <w:rStyle w:val="7"/>
          <w:rFonts w:hint="default" w:ascii="宋体" w:hAnsi="宋体" w:eastAsia="宋体"/>
          <w:b/>
          <w:sz w:val="44"/>
          <w:szCs w:val="44"/>
        </w:rPr>
      </w:pPr>
    </w:p>
    <w:p>
      <w:pPr>
        <w:tabs>
          <w:tab w:val="left" w:pos="1701"/>
        </w:tabs>
        <w:spacing w:line="600" w:lineRule="exact"/>
        <w:jc w:val="both"/>
        <w:rPr>
          <w:rStyle w:val="7"/>
          <w:rFonts w:hint="default" w:ascii="宋体" w:hAnsi="宋体" w:eastAsia="宋体"/>
          <w:b/>
          <w:sz w:val="44"/>
          <w:szCs w:val="44"/>
        </w:rPr>
      </w:pPr>
    </w:p>
    <w:p>
      <w:pPr>
        <w:tabs>
          <w:tab w:val="left" w:pos="1701"/>
        </w:tabs>
        <w:spacing w:line="600" w:lineRule="exact"/>
        <w:jc w:val="both"/>
        <w:rPr>
          <w:rStyle w:val="7"/>
          <w:rFonts w:hint="default" w:ascii="宋体" w:hAnsi="宋体" w:eastAsia="宋体"/>
          <w:b/>
          <w:sz w:val="44"/>
          <w:szCs w:val="44"/>
        </w:rPr>
      </w:pPr>
    </w:p>
    <w:p>
      <w:pPr>
        <w:tabs>
          <w:tab w:val="left" w:pos="1701"/>
        </w:tabs>
        <w:spacing w:line="600" w:lineRule="exact"/>
        <w:jc w:val="center"/>
        <w:rPr>
          <w:rStyle w:val="7"/>
          <w:rFonts w:hint="default" w:ascii="宋体" w:hAnsi="宋体" w:eastAsia="宋体"/>
          <w:b/>
          <w:sz w:val="44"/>
          <w:szCs w:val="44"/>
        </w:rPr>
      </w:pPr>
    </w:p>
    <w:p>
      <w:pPr>
        <w:tabs>
          <w:tab w:val="left" w:pos="1701"/>
        </w:tabs>
        <w:spacing w:line="600" w:lineRule="exact"/>
        <w:jc w:val="center"/>
        <w:rPr>
          <w:rStyle w:val="7"/>
          <w:rFonts w:hint="default" w:ascii="宋体" w:hAnsi="宋体" w:eastAsia="宋体"/>
          <w:b/>
          <w:sz w:val="44"/>
          <w:szCs w:val="44"/>
        </w:rPr>
      </w:pPr>
    </w:p>
    <w:p>
      <w:pPr>
        <w:keepNext w:val="0"/>
        <w:keepLines w:val="0"/>
        <w:pageBreakBefore w:val="0"/>
        <w:widowControl w:val="0"/>
        <w:kinsoku/>
        <w:wordWrap/>
        <w:overflowPunct/>
        <w:topLinePunct w:val="0"/>
        <w:autoSpaceDE/>
        <w:autoSpaceDN/>
        <w:bidi w:val="0"/>
        <w:adjustRightInd/>
        <w:snapToGrid/>
        <w:spacing w:line="1000" w:lineRule="exact"/>
        <w:ind w:firstLine="2880" w:firstLineChars="9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伊财建〔2023〕2号</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center"/>
        <w:textAlignment w:val="auto"/>
        <w:rPr>
          <w:rFonts w:hint="eastAsia" w:ascii="楷体" w:hAnsi="楷体" w:eastAsia="楷体" w:cs="楷体"/>
          <w:sz w:val="32"/>
          <w:szCs w:val="32"/>
          <w:lang w:val="en-US" w:eastAsia="zh-CN"/>
        </w:rPr>
      </w:pPr>
    </w:p>
    <w:p>
      <w:pPr>
        <w:spacing w:line="640" w:lineRule="exact"/>
        <w:jc w:val="center"/>
        <w:rPr>
          <w:rFonts w:hint="eastAsia" w:ascii="宋体" w:hAnsi="宋体" w:eastAsia="宋体"/>
          <w:b/>
          <w:sz w:val="44"/>
          <w:szCs w:val="44"/>
        </w:rPr>
      </w:pPr>
      <w:r>
        <w:rPr>
          <w:rFonts w:hint="eastAsia" w:ascii="宋体" w:hAnsi="宋体" w:eastAsia="宋体"/>
          <w:b/>
          <w:sz w:val="44"/>
          <w:szCs w:val="44"/>
        </w:rPr>
        <w:t>关于拨付2022年中央林业草原生态</w:t>
      </w:r>
    </w:p>
    <w:p>
      <w:pPr>
        <w:tabs>
          <w:tab w:val="left" w:pos="1701"/>
        </w:tabs>
        <w:spacing w:line="600" w:lineRule="exact"/>
        <w:jc w:val="center"/>
        <w:rPr>
          <w:rFonts w:hint="eastAsia" w:ascii="宋体" w:hAnsi="宋体" w:eastAsia="宋体"/>
          <w:b/>
          <w:sz w:val="44"/>
          <w:szCs w:val="44"/>
        </w:rPr>
      </w:pPr>
      <w:r>
        <w:rPr>
          <w:rFonts w:hint="eastAsia" w:ascii="宋体" w:hAnsi="宋体" w:eastAsia="宋体"/>
          <w:b/>
          <w:sz w:val="44"/>
          <w:szCs w:val="44"/>
        </w:rPr>
        <w:t>保护恢复资金的通知</w:t>
      </w:r>
    </w:p>
    <w:p>
      <w:pPr>
        <w:tabs>
          <w:tab w:val="left" w:pos="1701"/>
        </w:tabs>
        <w:spacing w:line="600" w:lineRule="exact"/>
        <w:jc w:val="left"/>
        <w:rPr>
          <w:rStyle w:val="7"/>
          <w:rFonts w:hint="default" w:ascii="仿宋_GB2312" w:eastAsia="仿宋_GB2312"/>
          <w:sz w:val="32"/>
          <w:szCs w:val="32"/>
        </w:rPr>
      </w:pPr>
      <w:r>
        <w:rPr>
          <w:rFonts w:hint="eastAsia" w:ascii="仿宋_GB2312" w:hAnsi="仿宋"/>
          <w:sz w:val="32"/>
          <w:szCs w:val="32"/>
          <w:lang w:eastAsia="zh-CN"/>
        </w:rPr>
        <w:t>伊吾林业和草原局</w:t>
      </w:r>
      <w:r>
        <w:rPr>
          <w:rFonts w:hint="default" w:ascii="仿宋_GB2312" w:hAnsi="仿宋"/>
          <w:sz w:val="32"/>
          <w:szCs w:val="32"/>
        </w:rPr>
        <w:t xml:space="preserve"> ：</w:t>
      </w:r>
    </w:p>
    <w:p>
      <w:pPr>
        <w:spacing w:line="560" w:lineRule="exact"/>
        <w:ind w:firstLine="640" w:firstLineChars="200"/>
        <w:rPr>
          <w:rFonts w:hint="eastAsia" w:ascii="仿宋_GB2312" w:hAnsi="仿宋"/>
          <w:sz w:val="32"/>
          <w:szCs w:val="32"/>
        </w:rPr>
      </w:pPr>
      <w:r>
        <w:rPr>
          <w:rFonts w:hint="eastAsia" w:ascii="仿宋_GB2312" w:hAnsi="仿宋"/>
          <w:sz w:val="32"/>
          <w:szCs w:val="32"/>
          <w:lang w:eastAsia="zh-CN"/>
        </w:rPr>
        <w:t>根据哈密市财政局</w:t>
      </w:r>
      <w:r>
        <w:rPr>
          <w:rFonts w:hint="eastAsia" w:ascii="仿宋_GB2312" w:hAnsi="仿宋"/>
          <w:sz w:val="32"/>
          <w:szCs w:val="32"/>
        </w:rPr>
        <w:t>《关于拨付2022年中央林业草原生态保护恢复资金的通知》</w:t>
      </w:r>
      <w:r>
        <w:rPr>
          <w:rFonts w:hint="eastAsia" w:ascii="仿宋_GB2312" w:hAnsi="仿宋"/>
          <w:sz w:val="32"/>
          <w:szCs w:val="32"/>
          <w:lang w:eastAsia="zh-CN"/>
        </w:rPr>
        <w:t>（哈市财建</w:t>
      </w:r>
      <w:r>
        <w:rPr>
          <w:rFonts w:hint="eastAsia" w:ascii="仿宋_GB2312" w:hAnsi="仿宋"/>
          <w:sz w:val="32"/>
          <w:szCs w:val="32"/>
          <w:lang w:val="en-US" w:eastAsia="zh-CN"/>
        </w:rPr>
        <w:t>[2023]3号</w:t>
      </w:r>
      <w:r>
        <w:rPr>
          <w:rFonts w:hint="eastAsia" w:ascii="仿宋_GB2312" w:hAnsi="仿宋"/>
          <w:sz w:val="32"/>
          <w:szCs w:val="32"/>
          <w:lang w:eastAsia="zh-CN"/>
        </w:rPr>
        <w:t>），</w:t>
      </w:r>
      <w:r>
        <w:rPr>
          <w:rFonts w:hint="eastAsia" w:ascii="仿宋_GB2312" w:hAnsi="仿宋"/>
          <w:sz w:val="32"/>
          <w:szCs w:val="32"/>
        </w:rPr>
        <w:t>现下达2022年中央林业草原生态保护恢复资金</w:t>
      </w:r>
      <w:r>
        <w:rPr>
          <w:rFonts w:hint="eastAsia" w:ascii="仿宋_GB2312" w:hAnsi="仿宋"/>
          <w:sz w:val="32"/>
          <w:szCs w:val="32"/>
          <w:lang w:val="en-US" w:eastAsia="zh-CN"/>
        </w:rPr>
        <w:t>112.8</w:t>
      </w:r>
      <w:r>
        <w:rPr>
          <w:rFonts w:hint="eastAsia" w:ascii="仿宋_GB2312" w:hAnsi="仿宋"/>
          <w:sz w:val="32"/>
          <w:szCs w:val="32"/>
        </w:rPr>
        <w:t>万元，项目代码为Z175070050001，具体项目名称及金额详见附件。</w:t>
      </w:r>
    </w:p>
    <w:p>
      <w:pPr>
        <w:spacing w:line="560" w:lineRule="exact"/>
        <w:rPr>
          <w:rFonts w:hint="eastAsia" w:ascii="仿宋_GB2312" w:hAnsi="仿宋"/>
          <w:sz w:val="32"/>
          <w:szCs w:val="32"/>
        </w:rPr>
      </w:pPr>
      <w:r>
        <w:rPr>
          <w:rFonts w:hint="eastAsia" w:ascii="仿宋_GB2312" w:hAnsi="仿宋"/>
          <w:sz w:val="32"/>
          <w:szCs w:val="32"/>
        </w:rPr>
        <w:t xml:space="preserve"> </w:t>
      </w:r>
      <w:r>
        <w:rPr>
          <w:rFonts w:hint="eastAsia" w:ascii="仿宋_GB2312" w:hAnsi="仿宋"/>
          <w:sz w:val="32"/>
          <w:szCs w:val="32"/>
          <w:lang w:val="en-US" w:eastAsia="zh-CN"/>
        </w:rPr>
        <w:t xml:space="preserve">   </w:t>
      </w:r>
      <w:r>
        <w:rPr>
          <w:rFonts w:hint="eastAsia" w:ascii="仿宋_GB2312" w:hAnsi="仿宋"/>
          <w:sz w:val="32"/>
          <w:szCs w:val="32"/>
        </w:rPr>
        <w:t>转移支付收入功能科目“1100250节能环保共同财政事权转移支付收入”；支出功能分类科目“2110602退耕现金”。政府预算支出经济分类科目和部门预算支出经济分类科目按照具体支出列入相应科目。此项</w:t>
      </w:r>
      <w:r>
        <w:rPr>
          <w:rFonts w:hint="eastAsia" w:ascii="仿宋_GB2312"/>
          <w:sz w:val="32"/>
          <w:szCs w:val="32"/>
        </w:rPr>
        <w:t>资金列为直达资金管理，资金标识为“01中央直达资金”，次标识贯穿资金分配、拨付、使用等整个环节，且保持不变。</w:t>
      </w:r>
      <w:r>
        <w:rPr>
          <w:rFonts w:hint="eastAsia" w:ascii="仿宋_GB2312" w:hAnsi="仿宋"/>
          <w:sz w:val="32"/>
          <w:szCs w:val="32"/>
        </w:rPr>
        <w:t xml:space="preserve"> </w:t>
      </w:r>
    </w:p>
    <w:p>
      <w:pPr>
        <w:ind w:firstLine="640" w:firstLineChars="200"/>
        <w:rPr>
          <w:rFonts w:hint="eastAsia" w:ascii="仿宋_GB2312" w:hAnsi="仿宋"/>
          <w:sz w:val="32"/>
          <w:szCs w:val="32"/>
        </w:rPr>
      </w:pPr>
      <w:r>
        <w:rPr>
          <w:rFonts w:hint="eastAsia" w:ascii="仿宋_GB2312"/>
          <w:sz w:val="32"/>
          <w:szCs w:val="32"/>
        </w:rPr>
        <w:t>请切实加强项目绩效管理，根据哈密市关于绩效管理的有关规定，在预算执行中，对资金运行情况和绩效目标实现程度开展绩</w:t>
      </w:r>
      <w:r>
        <w:rPr>
          <w:rFonts w:hint="eastAsia" w:ascii="仿宋_GB2312" w:hAnsi="仿宋"/>
          <w:sz w:val="32"/>
          <w:szCs w:val="32"/>
        </w:rPr>
        <w:t>效监控，确保专项资金取得实效。预算执行结束后，</w:t>
      </w:r>
      <w:bookmarkStart w:id="0" w:name="_GoBack"/>
      <w:bookmarkEnd w:id="0"/>
      <w:r>
        <w:rPr>
          <w:rFonts w:hint="eastAsia" w:ascii="仿宋_GB2312" w:hAnsi="仿宋"/>
          <w:sz w:val="32"/>
          <w:szCs w:val="32"/>
        </w:rPr>
        <w:t>应对照确定的绩效目标开展绩效自评工作并上报</w:t>
      </w:r>
      <w:r>
        <w:rPr>
          <w:rFonts w:hint="eastAsia" w:ascii="仿宋_GB2312" w:hAnsi="仿宋"/>
          <w:sz w:val="32"/>
          <w:szCs w:val="32"/>
          <w:lang w:eastAsia="zh-CN"/>
        </w:rPr>
        <w:t>县</w:t>
      </w:r>
      <w:r>
        <w:rPr>
          <w:rFonts w:hint="eastAsia" w:ascii="仿宋_GB2312" w:hAnsi="仿宋"/>
          <w:sz w:val="32"/>
          <w:szCs w:val="32"/>
        </w:rPr>
        <w:t xml:space="preserve">财政局。 </w:t>
      </w:r>
    </w:p>
    <w:p>
      <w:pPr>
        <w:ind w:firstLine="640" w:firstLineChars="200"/>
        <w:rPr>
          <w:rFonts w:hint="eastAsia" w:ascii="仿宋_GB2312" w:hAnsi="仿宋"/>
          <w:sz w:val="32"/>
          <w:szCs w:val="32"/>
        </w:rPr>
      </w:pPr>
      <w:r>
        <w:rPr>
          <w:rFonts w:hint="eastAsia" w:ascii="仿宋_GB2312" w:hAnsi="仿宋"/>
          <w:sz w:val="32"/>
          <w:szCs w:val="32"/>
        </w:rPr>
        <w:t xml:space="preserve">请加强资金使用监督管理。有关单位或个人违规使用资金的，以及其他滥用职权、玩忽职守、徇私舞弊等违法违纪行为的，按照《预算法》、《公务员法》、《行政监察法》、《财政违法行为处罚处分条例》等有关规定追究相应责任；涉嫌犯罪的，移送司法机关处理。 </w:t>
      </w:r>
    </w:p>
    <w:p>
      <w:pPr>
        <w:ind w:firstLine="640" w:firstLineChars="200"/>
        <w:rPr>
          <w:rFonts w:hint="eastAsia" w:ascii="仿宋_GB2312" w:hAnsi="仿宋"/>
          <w:sz w:val="32"/>
          <w:szCs w:val="32"/>
        </w:rPr>
      </w:pPr>
      <w:r>
        <w:rPr>
          <w:rFonts w:ascii="仿宋_GB2312" w:hAnsi="仿宋"/>
          <w:sz w:val="32"/>
          <w:szCs w:val="32"/>
        </w:rPr>
        <w:t>请合理安排使用资金,并根据《关于印发〈自治区财政资金使用跟踪反馈管理暂行办法〉的通知》(新财预[2016]1l3号)要求，每月25日前反馈财政资金使用情况，加强对资金使用情况的监管。</w:t>
      </w:r>
    </w:p>
    <w:p>
      <w:pPr>
        <w:ind w:firstLine="640" w:firstLineChars="200"/>
        <w:rPr>
          <w:rFonts w:hint="eastAsia" w:ascii="仿宋_GB2312" w:hAnsi="仿宋"/>
          <w:sz w:val="32"/>
          <w:szCs w:val="32"/>
        </w:rPr>
      </w:pPr>
    </w:p>
    <w:p>
      <w:pPr>
        <w:spacing w:line="560" w:lineRule="exact"/>
        <w:rPr>
          <w:rFonts w:hint="eastAsia" w:ascii="仿宋_GB2312" w:hAnsi="仿宋"/>
          <w:sz w:val="32"/>
          <w:szCs w:val="32"/>
        </w:rPr>
      </w:pPr>
      <w:r>
        <w:rPr>
          <w:rFonts w:hint="eastAsia" w:ascii="仿宋_GB2312" w:hAnsi="仿宋"/>
          <w:sz w:val="32"/>
          <w:szCs w:val="32"/>
        </w:rPr>
        <w:t xml:space="preserve">   附件1.2022年中央林业草原生态保护恢复资金(退耕还林还</w:t>
      </w:r>
    </w:p>
    <w:p>
      <w:pPr>
        <w:spacing w:line="560" w:lineRule="exact"/>
        <w:rPr>
          <w:rFonts w:hint="eastAsia" w:ascii="仿宋_GB2312" w:hAnsi="仿宋"/>
          <w:sz w:val="32"/>
          <w:szCs w:val="32"/>
        </w:rPr>
      </w:pPr>
      <w:r>
        <w:rPr>
          <w:rFonts w:hint="eastAsia" w:ascii="仿宋_GB2312" w:hAnsi="仿宋"/>
          <w:sz w:val="32"/>
          <w:szCs w:val="32"/>
        </w:rPr>
        <w:t xml:space="preserve">          草延长补助)资金分配表</w:t>
      </w:r>
    </w:p>
    <w:p>
      <w:pPr>
        <w:spacing w:line="640" w:lineRule="exact"/>
        <w:ind w:firstLine="640" w:firstLineChars="200"/>
        <w:rPr>
          <w:rFonts w:hint="eastAsia" w:ascii="仿宋_GB2312" w:hAnsi="仿宋"/>
          <w:sz w:val="30"/>
          <w:szCs w:val="30"/>
        </w:rPr>
      </w:pPr>
      <w:r>
        <w:rPr>
          <w:rFonts w:hint="eastAsia" w:ascii="仿宋_GB2312" w:hAnsi="仿宋"/>
          <w:sz w:val="32"/>
          <w:szCs w:val="32"/>
        </w:rPr>
        <w:t xml:space="preserve">             </w:t>
      </w:r>
    </w:p>
    <w:p>
      <w:pPr>
        <w:spacing w:line="640" w:lineRule="exact"/>
        <w:jc w:val="center"/>
        <w:rPr>
          <w:rFonts w:hint="eastAsia" w:ascii="仿宋_GB2312" w:hAnsi="仿宋"/>
          <w:sz w:val="30"/>
          <w:szCs w:val="30"/>
        </w:rPr>
      </w:pPr>
      <w:r>
        <w:rPr>
          <w:rFonts w:hint="eastAsia" w:ascii="仿宋_GB2312" w:hAnsi="仿宋"/>
          <w:sz w:val="30"/>
          <w:szCs w:val="30"/>
        </w:rPr>
        <w:t xml:space="preserve">                </w:t>
      </w:r>
      <w:r>
        <w:rPr>
          <w:rFonts w:hint="eastAsia" w:ascii="仿宋_GB2312" w:hAnsi="仿宋"/>
          <w:sz w:val="30"/>
          <w:szCs w:val="30"/>
          <w:lang w:val="en-US" w:eastAsia="zh-CN"/>
        </w:rPr>
        <w:t xml:space="preserve">    </w:t>
      </w:r>
      <w:r>
        <w:rPr>
          <w:rFonts w:hint="eastAsia" w:ascii="仿宋_GB2312" w:hAnsi="仿宋"/>
          <w:sz w:val="30"/>
          <w:szCs w:val="30"/>
        </w:rPr>
        <w:t xml:space="preserve"> </w:t>
      </w:r>
      <w:r>
        <w:rPr>
          <w:rFonts w:hint="eastAsia" w:ascii="仿宋_GB2312" w:hAnsi="仿宋"/>
          <w:sz w:val="30"/>
          <w:szCs w:val="30"/>
          <w:lang w:eastAsia="zh-CN"/>
        </w:rPr>
        <w:t>伊吾县</w:t>
      </w:r>
      <w:r>
        <w:rPr>
          <w:rFonts w:hint="eastAsia" w:ascii="仿宋_GB2312" w:hAnsi="仿宋"/>
          <w:sz w:val="30"/>
          <w:szCs w:val="30"/>
        </w:rPr>
        <w:t>财政局</w:t>
      </w:r>
    </w:p>
    <w:p>
      <w:pPr>
        <w:spacing w:line="640" w:lineRule="exact"/>
        <w:jc w:val="center"/>
        <w:rPr>
          <w:rFonts w:hint="eastAsia" w:ascii="仿宋_GB2312" w:hAnsi="仿宋"/>
          <w:sz w:val="30"/>
          <w:szCs w:val="30"/>
        </w:rPr>
      </w:pPr>
      <w:r>
        <w:rPr>
          <w:rFonts w:hint="eastAsia" w:ascii="仿宋_GB2312" w:hAnsi="仿宋"/>
          <w:sz w:val="30"/>
          <w:szCs w:val="30"/>
        </w:rPr>
        <w:t xml:space="preserve">                </w:t>
      </w:r>
      <w:r>
        <w:rPr>
          <w:rFonts w:hint="eastAsia" w:ascii="仿宋_GB2312" w:hAnsi="仿宋"/>
          <w:sz w:val="30"/>
          <w:szCs w:val="30"/>
          <w:lang w:val="en-US" w:eastAsia="zh-CN"/>
        </w:rPr>
        <w:t xml:space="preserve">     </w:t>
      </w:r>
      <w:r>
        <w:rPr>
          <w:rFonts w:hint="eastAsia" w:ascii="仿宋_GB2312" w:hAnsi="仿宋"/>
          <w:sz w:val="30"/>
          <w:szCs w:val="30"/>
        </w:rPr>
        <w:t xml:space="preserve"> 202</w:t>
      </w:r>
      <w:r>
        <w:rPr>
          <w:rFonts w:hint="eastAsia" w:ascii="仿宋_GB2312" w:hAnsi="仿宋"/>
          <w:sz w:val="30"/>
          <w:szCs w:val="30"/>
          <w:lang w:val="en-US" w:eastAsia="zh-CN"/>
        </w:rPr>
        <w:t>3</w:t>
      </w:r>
      <w:r>
        <w:rPr>
          <w:rFonts w:hint="eastAsia" w:ascii="仿宋_GB2312" w:hAnsi="仿宋"/>
          <w:sz w:val="30"/>
          <w:szCs w:val="30"/>
        </w:rPr>
        <w:t>年</w:t>
      </w:r>
      <w:r>
        <w:rPr>
          <w:rFonts w:hint="eastAsia" w:ascii="仿宋_GB2312" w:hAnsi="仿宋"/>
          <w:sz w:val="30"/>
          <w:szCs w:val="30"/>
          <w:lang w:val="en-US" w:eastAsia="zh-CN"/>
        </w:rPr>
        <w:t>2</w:t>
      </w:r>
      <w:r>
        <w:rPr>
          <w:rFonts w:hint="eastAsia" w:ascii="仿宋_GB2312" w:hAnsi="仿宋"/>
          <w:sz w:val="30"/>
          <w:szCs w:val="30"/>
        </w:rPr>
        <w:t>月</w:t>
      </w:r>
      <w:r>
        <w:rPr>
          <w:rFonts w:hint="eastAsia" w:ascii="仿宋_GB2312" w:hAnsi="仿宋"/>
          <w:sz w:val="30"/>
          <w:szCs w:val="30"/>
          <w:lang w:val="en-US" w:eastAsia="zh-CN"/>
        </w:rPr>
        <w:t>20</w:t>
      </w:r>
      <w:r>
        <w:rPr>
          <w:rFonts w:hint="eastAsia" w:ascii="仿宋_GB2312" w:hAnsi="仿宋"/>
          <w:sz w:val="30"/>
          <w:szCs w:val="30"/>
        </w:rPr>
        <w:t>日</w:t>
      </w:r>
    </w:p>
    <w:p>
      <w:pPr>
        <w:ind w:firstLine="1600" w:firstLineChars="500"/>
        <w:jc w:val="left"/>
        <w:rPr>
          <w:rStyle w:val="7"/>
          <w:rFonts w:hint="default" w:ascii="仿宋_GB2312" w:hAnsi="Times New Roman" w:eastAsia="仿宋_GB2312"/>
          <w:color w:val="auto"/>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992" w:gutter="0"/>
      <w:cols w:space="425"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6211C"/>
    <w:rsid w:val="010C6535"/>
    <w:rsid w:val="01895549"/>
    <w:rsid w:val="0FCF3010"/>
    <w:rsid w:val="12CA1A9B"/>
    <w:rsid w:val="1B471B72"/>
    <w:rsid w:val="1CBC4CF5"/>
    <w:rsid w:val="1DAF3BCD"/>
    <w:rsid w:val="24DF51AD"/>
    <w:rsid w:val="266F74B1"/>
    <w:rsid w:val="3996211C"/>
    <w:rsid w:val="43391678"/>
    <w:rsid w:val="44C5124B"/>
    <w:rsid w:val="4D4D4947"/>
    <w:rsid w:val="51D67DB6"/>
    <w:rsid w:val="5F215C38"/>
    <w:rsid w:val="74410DAE"/>
    <w:rsid w:val="75782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style01"/>
    <w:qFormat/>
    <w:uiPriority w:val="0"/>
    <w:rPr>
      <w:rFonts w:hint="eastAsia" w:ascii="黑体" w:hAnsi="黑体" w:eastAsia="黑体"/>
      <w:color w:val="000000"/>
      <w:sz w:val="76"/>
      <w:szCs w:val="76"/>
    </w:r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2022-04-24T03:24:00Z</dcterms:created>
  <dc:creator>7</dc:creator>
  <cp:lastModifiedBy>7</cp:lastModifiedBy>
  <cp:lastPrinted>2023-01-13T11:35:00Z</cp:lastPrinted>
  <dcterms:modified xsi:type="dcterms:W3CDTF">2023-03-22T03:02:16Z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